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4F8A" w:val="clear"/>
            <w:tcMar>
              <w:top w:type="dxa" w:w="480"/>
              <w:left w:type="dxa" w:w="480"/>
              <w:bottom w:type="dxa" w:w="480"/>
              <w:right w:type="dxa" w:w="480"/>
            </w:tcMar>
          </w:tcPr>
          <w:p>
            <w:pPr>
              <w:spacing w:before="0" w:after="80"/>
            </w:pPr>
            <w:r>
              <w:rPr>
                <w:rFonts w:ascii="Arial" w:cs="Arial" w:eastAsia="Arial" w:hAnsi="Arial"/>
                <w:b/>
                <w:bCs/>
                <w:color w:val="A8C8F0"/>
                <w:spacing w:val="200"/>
                <w:sz w:val="20"/>
                <w:szCs w:val="20"/>
              </w:rPr>
              <w:t xml:space="preserve">POLICY BRIEF</w:t>
            </w:r>
          </w:p>
          <w:p>
            <w:pPr>
              <w:spacing w:before="0" w:after="120"/>
            </w:pPr>
            <w:r>
              <w:rPr>
                <w:rFonts w:ascii="Arial" w:cs="Arial" w:eastAsia="Arial" w:hAnsi="Arial"/>
                <w:b/>
                <w:bCs/>
                <w:color w:val="FFFFFF"/>
                <w:sz w:val="56"/>
                <w:szCs w:val="56"/>
              </w:rPr>
              <w:t xml:space="preserve">The People's Internet</w:t>
            </w:r>
          </w:p>
          <w:p>
            <w:pPr>
              <w:spacing w:before="0" w:after="240"/>
            </w:pPr>
            <w:r>
              <w:rPr>
                <w:rFonts w:ascii="Arial" w:cs="Arial" w:eastAsia="Arial" w:hAnsi="Arial"/>
                <w:i/>
                <w:iCs/>
                <w:color w:val="B8D4F0"/>
                <w:sz w:val="28"/>
                <w:szCs w:val="28"/>
              </w:rPr>
              <w:t xml:space="preserve">A Proposal for Digital Public Infrastructure</w:t>
            </w:r>
          </w:p>
          <w:p>
            <w:pPr>
              <w:spacing w:before="0" w:after="160"/>
            </w:pPr>
            <w:r>
              <w:rPr>
                <w:rFonts w:ascii="Arial" w:cs="Arial" w:eastAsia="Arial" w:hAnsi="Arial"/>
                <w:color w:val="C8DFF7"/>
                <w:sz w:val="22"/>
                <w:szCs w:val="22"/>
              </w:rPr>
              <w:t xml:space="preserve">A digital public park for the 21st century</w:t>
            </w:r>
          </w:p>
          <w:p>
            <w:pPr>
              <w:spacing w:before="0" w:after="0"/>
            </w:pPr>
            <w:r>
              <w:rPr>
                <w:rFonts w:ascii="Arial" w:cs="Arial" w:eastAsia="Arial" w:hAnsi="Arial"/>
                <w:color w:val="A0C0E8"/>
                <w:sz w:val="20"/>
                <w:szCs w:val="20"/>
              </w:rPr>
              <w:t xml:space="preserve">February 2026</w:t>
            </w:r>
          </w:p>
        </w:tc>
      </w:tr>
    </w:tbl>
    <w:p>
      <w:pPr>
        <w:spacing w:before="0" w:after="3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A4F8A" w:sz="24"/>
              <w:bottom w:val="none" w:color="FFFFFF" w:sz="0"/>
              <w:right w:val="none" w:color="FFFFFF" w:sz="0"/>
            </w:tcBorders>
            <w:shd w:fill="D6E4F7" w:val="clear"/>
            <w:tcMar>
              <w:top w:type="dxa" w:w="120"/>
              <w:left w:type="dxa" w:w="240"/>
              <w:bottom w:type="dxa" w:w="120"/>
              <w:right w:type="dxa" w:w="240"/>
            </w:tcMar>
          </w:tcPr>
          <w:p>
            <w:pPr>
              <w:spacing w:before="0" w:after="80"/>
            </w:pPr>
            <w:r>
              <w:rPr>
                <w:rFonts w:ascii="Arial" w:cs="Arial" w:eastAsia="Arial" w:hAnsi="Arial"/>
                <w:b/>
                <w:bCs/>
                <w:color w:val="1A4F8A"/>
                <w:sz w:val="22"/>
                <w:szCs w:val="22"/>
              </w:rPr>
              <w:t xml:space="preserve">Executive Summary</w:t>
            </w:r>
          </w:p>
          <w:p>
            <w:pPr>
              <w:spacing w:before="0" w:after="0"/>
            </w:pPr>
            <w:r>
              <w:rPr>
                <w:rFonts w:ascii="Arial" w:cs="Arial" w:eastAsia="Arial" w:hAnsi="Arial"/>
                <w:i/>
                <w:iCs/>
                <w:color w:val="444444"/>
                <w:sz w:val="20"/>
                <w:szCs w:val="20"/>
              </w:rPr>
              <w:t xml:space="preserve">The People's Internet proposes a voluntary, parallel digital infrastructure — a civic commons — built on four pillars: radical transparency, data sovereignty, corporate exclusion, and voluntary participation. It is technically feasible today, requires no new breakthroughs, and addresses simultaneous crises of digital predation, AI-driven unemployment, and civic fragmentation. This brief outlines the rationale, design, governance, and phased implementation pathway for a national pilot program.</w:t>
            </w:r>
          </w:p>
        </w:tc>
      </w:tr>
    </w:tbl>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1.  The Problem: A Commercial Internet Failing Citizens</w:t>
      </w:r>
    </w:p>
    <w:p>
      <w:pPr>
        <w:spacing w:before="60" w:after="120"/>
        <w:jc w:val="both"/>
      </w:pPr>
      <w:r>
        <w:rPr>
          <w:rFonts w:ascii="Arial" w:cs="Arial" w:eastAsia="Arial" w:hAnsi="Arial"/>
          <w:color w:val="333333"/>
          <w:sz w:val="22"/>
          <w:szCs w:val="22"/>
        </w:rPr>
        <w:t xml:space="preserve">The internet has become the primary infrastructure for modern life — essential for employment, education, civic participation, and social connection. Yet the dominant commercial model has produced documented, systemic harms that disproportionately affect the most vulnerable.</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A4F8A" w:val="clear"/>
            <w:tcMar>
              <w:top w:type="dxa" w:w="120"/>
              <w:left w:type="dxa" w:w="160"/>
              <w:bottom w:type="dxa" w:w="120"/>
              <w:right w:type="dxa" w:w="160"/>
            </w:tcMar>
          </w:tcPr>
          <w:p>
            <w:pPr>
              <w:spacing w:before="0" w:after="80"/>
            </w:pPr>
            <w:r>
              <w:rPr>
                <w:rFonts w:ascii="Arial" w:cs="Arial" w:eastAsia="Arial" w:hAnsi="Arial"/>
                <w:b/>
                <w:bCs/>
                <w:color w:val="FFFFFF"/>
                <w:sz w:val="22"/>
                <w:szCs w:val="22"/>
              </w:rPr>
              <w:t xml:space="preserve">What the People's Internet Offers</w:t>
            </w:r>
          </w:p>
          <w:p>
            <w:pPr>
              <w:spacing w:before="40" w:after="40"/>
            </w:pPr>
            <w:r>
              <w:rPr>
                <w:rFonts w:ascii="Arial" w:cs="Arial" w:eastAsia="Arial" w:hAnsi="Arial"/>
                <w:color w:val="FFFFFF"/>
                <w:sz w:val="20"/>
                <w:szCs w:val="20"/>
              </w:rPr>
              <w:t xml:space="preserve">• Full transparency of algorithms and logic</w:t>
            </w:r>
          </w:p>
          <w:p>
            <w:pPr>
              <w:spacing w:before="40" w:after="40"/>
            </w:pPr>
            <w:r>
              <w:rPr>
                <w:rFonts w:ascii="Arial" w:cs="Arial" w:eastAsia="Arial" w:hAnsi="Arial"/>
                <w:color w:val="FFFFFF"/>
                <w:sz w:val="20"/>
                <w:szCs w:val="20"/>
              </w:rPr>
              <w:t xml:space="preserve">• No surveillance or marketing data collection</w:t>
            </w:r>
          </w:p>
          <w:p>
            <w:pPr>
              <w:spacing w:before="40" w:after="40"/>
            </w:pPr>
            <w:r>
              <w:rPr>
                <w:rFonts w:ascii="Arial" w:cs="Arial" w:eastAsia="Arial" w:hAnsi="Arial"/>
                <w:color w:val="FFFFFF"/>
                <w:sz w:val="20"/>
                <w:szCs w:val="20"/>
              </w:rPr>
              <w:t xml:space="preserve">• No corporate ownership or capture</w:t>
            </w:r>
          </w:p>
          <w:p>
            <w:pPr>
              <w:spacing w:before="40" w:after="40"/>
            </w:pPr>
            <w:r>
              <w:rPr>
                <w:rFonts w:ascii="Arial" w:cs="Arial" w:eastAsia="Arial" w:hAnsi="Arial"/>
                <w:color w:val="FFFFFF"/>
                <w:sz w:val="20"/>
                <w:szCs w:val="20"/>
              </w:rPr>
              <w:t xml:space="preserve">• Safe, comprehensible digital spaces</w:t>
            </w:r>
          </w:p>
          <w:p>
            <w:pPr>
              <w:spacing w:before="40" w:after="40"/>
            </w:pPr>
            <w:r>
              <w:rPr>
                <w:rFonts w:ascii="Arial" w:cs="Arial" w:eastAsia="Arial" w:hAnsi="Arial"/>
                <w:color w:val="FFFFFF"/>
                <w:sz w:val="20"/>
                <w:szCs w:val="20"/>
              </w:rPr>
              <w:t xml:space="preserve">• Citizen control over digital footprint</w:t>
            </w:r>
          </w:p>
        </w:tc>
        <w:tc>
          <w:tcPr>
            <w:tcW w:type="dxa" w:w="4680"/>
            <w:tcBorders>
              <w:top w:val="single" w:color="CCCCCC" w:sz="1"/>
              <w:left w:val="single" w:color="CCCCCC" w:sz="1"/>
              <w:bottom w:val="single" w:color="CCCCCC" w:sz="1"/>
              <w:right w:val="single" w:color="CCCCCC" w:sz="1"/>
            </w:tcBorders>
            <w:shd w:fill="C0392B" w:val="clear"/>
            <w:tcMar>
              <w:top w:type="dxa" w:w="120"/>
              <w:left w:type="dxa" w:w="160"/>
              <w:bottom w:type="dxa" w:w="120"/>
              <w:right w:type="dxa" w:w="160"/>
            </w:tcMar>
          </w:tcPr>
          <w:p>
            <w:pPr>
              <w:spacing w:before="0" w:after="80"/>
            </w:pPr>
            <w:r>
              <w:rPr>
                <w:rFonts w:ascii="Arial" w:cs="Arial" w:eastAsia="Arial" w:hAnsi="Arial"/>
                <w:b/>
                <w:bCs/>
                <w:color w:val="FFFFFF"/>
                <w:sz w:val="22"/>
                <w:szCs w:val="22"/>
              </w:rPr>
              <w:t xml:space="preserve">What the Commercial Internet Delivers</w:t>
            </w:r>
          </w:p>
          <w:p>
            <w:pPr>
              <w:spacing w:before="40" w:after="40"/>
            </w:pPr>
            <w:r>
              <w:rPr>
                <w:rFonts w:ascii="Arial" w:cs="Arial" w:eastAsia="Arial" w:hAnsi="Arial"/>
                <w:color w:val="FFFFFF"/>
                <w:sz w:val="20"/>
                <w:szCs w:val="20"/>
              </w:rPr>
              <w:t xml:space="preserve">• Opaque engagement-maximizing algorithms</w:t>
            </w:r>
          </w:p>
          <w:p>
            <w:pPr>
              <w:spacing w:before="40" w:after="40"/>
            </w:pPr>
            <w:r>
              <w:rPr>
                <w:rFonts w:ascii="Arial" w:cs="Arial" w:eastAsia="Arial" w:hAnsi="Arial"/>
                <w:color w:val="FFFFFF"/>
                <w:sz w:val="20"/>
                <w:szCs w:val="20"/>
              </w:rPr>
              <w:t xml:space="preserve">• Pervasive data harvesting without real consent</w:t>
            </w:r>
          </w:p>
          <w:p>
            <w:pPr>
              <w:spacing w:before="40" w:after="40"/>
            </w:pPr>
            <w:r>
              <w:rPr>
                <w:rFonts w:ascii="Arial" w:cs="Arial" w:eastAsia="Arial" w:hAnsi="Arial"/>
                <w:color w:val="FFFFFF"/>
                <w:sz w:val="20"/>
                <w:szCs w:val="20"/>
              </w:rPr>
              <w:t xml:space="preserve">• Corporate ownership optimized for profit</w:t>
            </w:r>
          </w:p>
          <w:p>
            <w:pPr>
              <w:spacing w:before="40" w:after="40"/>
            </w:pPr>
            <w:r>
              <w:rPr>
                <w:rFonts w:ascii="Arial" w:cs="Arial" w:eastAsia="Arial" w:hAnsi="Arial"/>
                <w:color w:val="FFFFFF"/>
                <w:sz w:val="20"/>
                <w:szCs w:val="20"/>
              </w:rPr>
              <w:t xml:space="preserve">• Dark patterns targeting vulnerable users</w:t>
            </w:r>
          </w:p>
          <w:p>
            <w:pPr>
              <w:spacing w:before="40" w:after="40"/>
            </w:pPr>
            <w:r>
              <w:rPr>
                <w:rFonts w:ascii="Arial" w:cs="Arial" w:eastAsia="Arial" w:hAnsi="Arial"/>
                <w:color w:val="FFFFFF"/>
                <w:sz w:val="20"/>
                <w:szCs w:val="20"/>
              </w:rPr>
              <w:t xml:space="preserve">• Terms of service no one reads or understands</w:t>
            </w:r>
          </w:p>
        </w:tc>
      </w:tr>
    </w:tbl>
    <w:p>
      <w:pPr>
        <w:spacing w:before="0" w:after="200"/>
      </w:pPr>
      <w:r>
        <w:t xml:space="preserve"/>
      </w:r>
    </w:p>
    <w:p>
      <w:pPr>
        <w:spacing w:before="60" w:after="120"/>
        <w:jc w:val="both"/>
      </w:pPr>
      <w:r>
        <w:rPr>
          <w:rFonts w:ascii="Arial" w:cs="Arial" w:eastAsia="Arial" w:hAnsi="Arial"/>
          <w:color w:val="333333"/>
          <w:sz w:val="22"/>
          <w:szCs w:val="22"/>
        </w:rPr>
        <w:t xml:space="preserve">Access to safe, reliable, and comprehensible information is no longer a convenience — it is essential for survival, autonomy, and participation in democratic society. The commercial internet's design philosophy treats users as products, not citizens. A structural alternative is required.</w:t>
      </w:r>
    </w:p>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2.  The Solution: The People's Internet</w:t>
      </w:r>
    </w:p>
    <w:p>
      <w:pPr>
        <w:spacing w:before="60" w:after="120"/>
        <w:jc w:val="both"/>
      </w:pPr>
      <w:r>
        <w:rPr>
          <w:rFonts w:ascii="Arial" w:cs="Arial" w:eastAsia="Arial" w:hAnsi="Arial"/>
          <w:color w:val="333333"/>
          <w:sz w:val="22"/>
          <w:szCs w:val="22"/>
        </w:rPr>
        <w:t xml:space="preserve">The People's Internet is a voluntary, parallel digital infrastructure — a civic commons. Citizens may choose this space alongside or instead of the commercial internet, just as a city resident might choose a public park over a shopping mall. The core insight is architectural: rather than regulating the commercial internet into compliance, this proposal builds an alternative governed by entirely different structural rules.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A4F8A" w:sz="24"/>
              <w:bottom w:val="none" w:color="FFFFFF" w:sz="0"/>
              <w:right w:val="none" w:color="FFFFFF" w:sz="0"/>
            </w:tcBorders>
            <w:shd w:fill="D6E4F7" w:val="clear"/>
            <w:tcMar>
              <w:top w:type="dxa" w:w="120"/>
              <w:left w:type="dxa" w:w="240"/>
              <w:bottom w:type="dxa" w:w="120"/>
              <w:right w:type="dxa" w:w="240"/>
            </w:tcMar>
          </w:tcPr>
          <w:p>
            <w:pPr>
              <w:spacing w:before="0" w:after="80"/>
            </w:pPr>
            <w:r>
              <w:rPr>
                <w:rFonts w:ascii="Arial" w:cs="Arial" w:eastAsia="Arial" w:hAnsi="Arial"/>
                <w:b/>
                <w:bCs/>
                <w:color w:val="1A4F8A"/>
                <w:sz w:val="22"/>
                <w:szCs w:val="22"/>
              </w:rPr>
              <w:t xml:space="preserve">The Digital Zoning Analogy</w:t>
            </w:r>
          </w:p>
          <w:p>
            <w:pPr>
              <w:spacing w:before="0" w:after="0"/>
            </w:pPr>
            <w:r>
              <w:rPr>
                <w:rFonts w:ascii="Arial" w:cs="Arial" w:eastAsia="Arial" w:hAnsi="Arial"/>
                <w:i/>
                <w:iCs/>
                <w:color w:val="444444"/>
                <w:sz w:val="20"/>
                <w:szCs w:val="20"/>
              </w:rPr>
              <w:t xml:space="preserve">Just as modern cities zone land for commercial, residential, and public use, this proposal creates a distinct digital zone — publicly owned, publicly governed, and structurally incapable of commercial capture. Citizens navigate between zones by informed choice, not mandate.</w:t>
            </w:r>
          </w:p>
        </w:tc>
      </w:tr>
    </w:tbl>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3.  Foundational Principles</w:t>
      </w:r>
    </w:p>
    <w:p>
      <w:pPr>
        <w:spacing w:before="60" w:after="120"/>
        <w:jc w:val="both"/>
      </w:pPr>
      <w:r>
        <w:rPr>
          <w:rFonts w:ascii="Arial" w:cs="Arial" w:eastAsia="Arial" w:hAnsi="Arial"/>
          <w:color w:val="333333"/>
          <w:sz w:val="22"/>
          <w:szCs w:val="22"/>
        </w:rPr>
        <w:t xml:space="preserve">Four non-negotiable structural principles define the People's Internet. These are not regulations — they are architectural features built into the infrastructure itself.</w:t>
      </w:r>
    </w:p>
    <w:p>
      <w:pPr>
        <w:spacing w:before="0" w:after="80"/>
      </w:pPr>
      <w:r>
        <w:t xml:space="preserve"/>
      </w:r>
    </w:p>
    <w:p>
      <w:pPr>
        <w:pStyle w:val="Heading2"/>
        <w:spacing w:before="240" w:after="120"/>
      </w:pPr>
      <w:r>
        <w:rPr>
          <w:rFonts w:ascii="Arial" w:cs="Arial" w:eastAsia="Arial" w:hAnsi="Arial"/>
          <w:b/>
          <w:bCs/>
          <w:color w:val="1A4F8A"/>
          <w:sz w:val="26"/>
          <w:szCs w:val="26"/>
        </w:rPr>
        <w:t xml:space="preserve">Principle 1: Radical Transparency</w:t>
      </w:r>
    </w:p>
    <w:p>
      <w:pPr>
        <w:spacing w:before="60" w:after="120"/>
        <w:jc w:val="both"/>
      </w:pPr>
      <w:r>
        <w:rPr>
          <w:rFonts w:ascii="Arial" w:cs="Arial" w:eastAsia="Arial" w:hAnsi="Arial"/>
          <w:color w:val="333333"/>
          <w:sz w:val="22"/>
          <w:szCs w:val="22"/>
        </w:rPr>
        <w:t xml:space="preserve">Every page hosted within the People's Internet must display clear, human-readable rules explaining what is shown, how it functions, and why. All underlying code and logic must be open to public audit on request. Hidden algorithms, obfuscated data practices, and black-box recommendation systems are structurally prohibited — not merely regulated.</w:t>
      </w:r>
    </w:p>
    <w:p>
      <w:pPr>
        <w:pStyle w:val="Heading2"/>
        <w:spacing w:before="240" w:after="120"/>
      </w:pPr>
      <w:r>
        <w:rPr>
          <w:rFonts w:ascii="Arial" w:cs="Arial" w:eastAsia="Arial" w:hAnsi="Arial"/>
          <w:b/>
          <w:bCs/>
          <w:color w:val="1A4F8A"/>
          <w:sz w:val="26"/>
          <w:szCs w:val="26"/>
        </w:rPr>
        <w:t xml:space="preserve">Principle 2: Data Sovereignty</w:t>
      </w:r>
    </w:p>
    <w:p>
      <w:pPr>
        <w:spacing w:before="60" w:after="120"/>
        <w:jc w:val="both"/>
      </w:pPr>
      <w:r>
        <w:rPr>
          <w:rFonts w:ascii="Arial" w:cs="Arial" w:eastAsia="Arial" w:hAnsi="Arial"/>
          <w:color w:val="333333"/>
          <w:sz w:val="22"/>
          <w:szCs w:val="22"/>
        </w:rPr>
        <w:t xml:space="preserve">Only data strictly necessary for basic function may be collected. Surveillance-grade data collection and marketing analytics are prohibited. Citizens retain sovereign ownership of their digital footprint within this space. Data minimization is a constitutional feature, not a policy aspiration.</w:t>
      </w:r>
    </w:p>
    <w:p>
      <w:pPr>
        <w:pStyle w:val="Heading2"/>
        <w:spacing w:before="240" w:after="120"/>
      </w:pPr>
      <w:r>
        <w:rPr>
          <w:rFonts w:ascii="Arial" w:cs="Arial" w:eastAsia="Arial" w:hAnsi="Arial"/>
          <w:b/>
          <w:bCs/>
          <w:color w:val="1A4F8A"/>
          <w:sz w:val="26"/>
          <w:szCs w:val="26"/>
        </w:rPr>
        <w:t xml:space="preserve">Principle 3: Corporate Exclusion</w:t>
      </w:r>
    </w:p>
    <w:p>
      <w:pPr>
        <w:spacing w:before="60" w:after="120"/>
        <w:jc w:val="both"/>
      </w:pPr>
      <w:r>
        <w:rPr>
          <w:rFonts w:ascii="Arial" w:cs="Arial" w:eastAsia="Arial" w:hAnsi="Arial"/>
          <w:color w:val="333333"/>
          <w:sz w:val="22"/>
          <w:szCs w:val="22"/>
        </w:rPr>
        <w:t xml:space="preserve">Corporations are explicitly barred from hosting or operating within this infrastructure. This single structural rule eliminates the primary vector for regulatory capture, lobbying, and commercialization. The space remains genuinely public by design — not by legislation that can be quietly amended.</w:t>
      </w:r>
    </w:p>
    <w:p>
      <w:pPr>
        <w:pStyle w:val="Heading2"/>
        <w:spacing w:before="240" w:after="120"/>
      </w:pPr>
      <w:r>
        <w:rPr>
          <w:rFonts w:ascii="Arial" w:cs="Arial" w:eastAsia="Arial" w:hAnsi="Arial"/>
          <w:b/>
          <w:bCs/>
          <w:color w:val="1A4F8A"/>
          <w:sz w:val="26"/>
          <w:szCs w:val="26"/>
        </w:rPr>
        <w:t xml:space="preserve">Principle 4: Voluntary Participation</w:t>
      </w:r>
    </w:p>
    <w:p>
      <w:pPr>
        <w:spacing w:before="60" w:after="120"/>
        <w:jc w:val="both"/>
      </w:pPr>
      <w:r>
        <w:rPr>
          <w:rFonts w:ascii="Arial" w:cs="Arial" w:eastAsia="Arial" w:hAnsi="Arial"/>
          <w:color w:val="333333"/>
          <w:sz w:val="22"/>
          <w:szCs w:val="22"/>
        </w:rPr>
        <w:t xml:space="preserve">No citizen is compelled to use the People's Internet. It functions as a digital zone — available to those who choose it, coexisting with the commercial internet. This respects individual freedom while creating a meaningful structural alternative.</w:t>
      </w:r>
    </w:p>
    <w:p>
      <w:pPr>
        <w:spacing w:before="0" w:after="8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4.  Technical Feasibility</w:t>
      </w:r>
    </w:p>
    <w:p>
      <w:pPr>
        <w:spacing w:before="60" w:after="120"/>
        <w:jc w:val="both"/>
      </w:pPr>
      <w:r>
        <w:rPr>
          <w:rFonts w:ascii="Arial" w:cs="Arial" w:eastAsia="Arial" w:hAnsi="Arial"/>
          <w:color w:val="333333"/>
          <w:sz w:val="22"/>
          <w:szCs w:val="22"/>
        </w:rPr>
        <w:t xml:space="preserve">This proposal requires no technological breakthroughs. The necessary infrastructure exists, is proven, and is affordable at scale.</w:t>
      </w:r>
    </w:p>
    <w:p>
      <w:pPr>
        <w:spacing w:before="0" w:after="80"/>
      </w:pPr>
      <w:r>
        <w:t xml:space="preserve"/>
      </w:r>
    </w:p>
    <w:p>
      <w:pPr>
        <w:pStyle w:val="Heading2"/>
        <w:spacing w:before="240" w:after="120"/>
      </w:pPr>
      <w:r>
        <w:rPr>
          <w:rFonts w:ascii="Arial" w:cs="Arial" w:eastAsia="Arial" w:hAnsi="Arial"/>
          <w:b/>
          <w:bCs/>
          <w:color w:val="1A4F8A"/>
          <w:sz w:val="26"/>
          <w:szCs w:val="26"/>
        </w:rPr>
        <w:t xml:space="preserve">Infrastructure Requirements</w:t>
      </w:r>
    </w:p>
    <w:p>
      <w:pPr>
        <w:pStyle w:val="ListParagraph"/>
        <w:numPr>
          <w:ilvl w:val="0"/>
          <w:numId w:val="2"/>
        </w:numPr>
        <w:spacing w:before="40" w:after="80"/>
      </w:pPr>
      <w:r>
        <w:rPr>
          <w:rFonts w:ascii="Arial" w:cs="Arial" w:eastAsia="Arial" w:hAnsi="Arial"/>
          <w:color w:val="333333"/>
          <w:sz w:val="22"/>
          <w:szCs w:val="22"/>
        </w:rPr>
        <w:t xml:space="preserve">State-level public hosting nodes serving static pages and limited dynamic content</w:t>
      </w:r>
    </w:p>
    <w:p>
      <w:pPr>
        <w:pStyle w:val="ListParagraph"/>
        <w:numPr>
          <w:ilvl w:val="0"/>
          <w:numId w:val="2"/>
        </w:numPr>
        <w:spacing w:before="40" w:after="80"/>
      </w:pPr>
      <w:r>
        <w:rPr>
          <w:rFonts w:ascii="Arial" w:cs="Arial" w:eastAsia="Arial" w:hAnsi="Arial"/>
          <w:color w:val="333333"/>
          <w:sz w:val="22"/>
          <w:szCs w:val="22"/>
        </w:rPr>
        <w:t xml:space="preserve">Approximately 1–2 gigabytes of hosted files per citizen — trivial by current storage standards</w:t>
      </w:r>
    </w:p>
    <w:p>
      <w:pPr>
        <w:pStyle w:val="ListParagraph"/>
        <w:numPr>
          <w:ilvl w:val="0"/>
          <w:numId w:val="2"/>
        </w:numPr>
        <w:spacing w:before="40" w:after="80"/>
      </w:pPr>
      <w:r>
        <w:rPr>
          <w:rFonts w:ascii="Arial" w:cs="Arial" w:eastAsia="Arial" w:hAnsi="Arial"/>
          <w:color w:val="333333"/>
          <w:sz w:val="22"/>
          <w:szCs w:val="22"/>
        </w:rPr>
        <w:t xml:space="preserve">Open-source, auditable code for all functions; standardized APIs and metadata systems</w:t>
      </w:r>
    </w:p>
    <w:p>
      <w:pPr>
        <w:pStyle w:val="ListParagraph"/>
        <w:numPr>
          <w:ilvl w:val="0"/>
          <w:numId w:val="2"/>
        </w:numPr>
        <w:spacing w:before="40" w:after="80"/>
      </w:pPr>
      <w:r>
        <w:rPr>
          <w:rFonts w:ascii="Arial" w:cs="Arial" w:eastAsia="Arial" w:hAnsi="Arial"/>
          <w:color w:val="333333"/>
          <w:sz w:val="22"/>
          <w:szCs w:val="22"/>
        </w:rPr>
        <w:t xml:space="preserve">Cost comparable to library systems or park maintenance — a fraction of standard public infrastructure budgets</w:t>
      </w:r>
    </w:p>
    <w:p>
      <w:pPr>
        <w:spacing w:before="0" w:after="100"/>
      </w:pPr>
      <w:r>
        <w:t xml:space="preserve"/>
      </w:r>
    </w:p>
    <w:p>
      <w:pPr>
        <w:pStyle w:val="Heading2"/>
        <w:spacing w:before="240" w:after="120"/>
      </w:pPr>
      <w:r>
        <w:rPr>
          <w:rFonts w:ascii="Arial" w:cs="Arial" w:eastAsia="Arial" w:hAnsi="Arial"/>
          <w:b/>
          <w:bCs/>
          <w:color w:val="1A4F8A"/>
          <w:sz w:val="26"/>
          <w:szCs w:val="26"/>
        </w:rPr>
        <w:t xml:space="preserve">AI-Assisted Administration</w:t>
      </w:r>
    </w:p>
    <w:p>
      <w:pPr>
        <w:spacing w:before="60" w:after="120"/>
        <w:jc w:val="both"/>
      </w:pPr>
      <w:r>
        <w:rPr>
          <w:rFonts w:ascii="Arial" w:cs="Arial" w:eastAsia="Arial" w:hAnsi="Arial"/>
          <w:color w:val="333333"/>
          <w:sz w:val="22"/>
          <w:szCs w:val="22"/>
        </w:rPr>
        <w:t xml:space="preserve">Automated systems handle scalable compliance verification, security monitoring, and transparency auditing. All ethical decisions and policy determinations remain with human civil servants, preserving democratic accountability while enabling efficient operation at scale.</w:t>
      </w:r>
    </w:p>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5.  Economic and Social Case</w:t>
      </w:r>
    </w:p>
    <w:p>
      <w:pPr>
        <w:pStyle w:val="Heading2"/>
        <w:spacing w:before="240" w:after="120"/>
      </w:pPr>
      <w:r>
        <w:rPr>
          <w:rFonts w:ascii="Arial" w:cs="Arial" w:eastAsia="Arial" w:hAnsi="Arial"/>
          <w:b/>
          <w:bCs/>
          <w:color w:val="1A4F8A"/>
          <w:sz w:val="26"/>
          <w:szCs w:val="26"/>
        </w:rPr>
        <w:t xml:space="preserve">A Jobs Program for the AI Era</w:t>
      </w:r>
    </w:p>
    <w:p>
      <w:pPr>
        <w:spacing w:before="60" w:after="120"/>
        <w:jc w:val="both"/>
      </w:pPr>
      <w:r>
        <w:rPr>
          <w:rFonts w:ascii="Arial" w:cs="Arial" w:eastAsia="Arial" w:hAnsi="Arial"/>
          <w:color w:val="333333"/>
          <w:sz w:val="22"/>
          <w:szCs w:val="22"/>
        </w:rPr>
        <w:t xml:space="preserve">AI displacement has eliminated large numbers of private-sector network administration positions. The People's Internet converts this displacement into a public asset: skilled workers become civil servants maintaining essential public digital infrastructure. This mirrors the logic of road maintenance crews, water system operators, and public library staff — highly skilled labor serving a public good.</w:t>
      </w:r>
    </w:p>
    <w:p>
      <w:pPr>
        <w:pStyle w:val="Heading2"/>
        <w:spacing w:before="240" w:after="120"/>
      </w:pPr>
      <w:r>
        <w:rPr>
          <w:rFonts w:ascii="Arial" w:cs="Arial" w:eastAsia="Arial" w:hAnsi="Arial"/>
          <w:b/>
          <w:bCs/>
          <w:color w:val="1A4F8A"/>
          <w:sz w:val="26"/>
          <w:szCs w:val="26"/>
        </w:rPr>
        <w:t xml:space="preserve">Public Safety Necessity</w:t>
      </w:r>
    </w:p>
    <w:p>
      <w:pPr>
        <w:spacing w:before="60" w:after="120"/>
        <w:jc w:val="both"/>
      </w:pPr>
      <w:r>
        <w:rPr>
          <w:rFonts w:ascii="Arial" w:cs="Arial" w:eastAsia="Arial" w:hAnsi="Arial"/>
          <w:color w:val="333333"/>
          <w:sz w:val="22"/>
          <w:szCs w:val="22"/>
        </w:rPr>
        <w:t xml:space="preserve">Documented harms of the commercial internet — algorithmic manipulation, surveillance capitalism, predatory design targeting children — impose measurable social costs. A safe, transparent digital zone is as fundamental a public safety necessity as clean water, safe streets, and regulated food systems. The costs of inaction are not zero; they are paid in mental health strain, civic fragmentation, and erosion of democratic capacity.</w:t>
      </w:r>
    </w:p>
    <w:p>
      <w:pPr>
        <w:pStyle w:val="Heading2"/>
        <w:spacing w:before="240" w:after="120"/>
      </w:pPr>
      <w:r>
        <w:rPr>
          <w:rFonts w:ascii="Arial" w:cs="Arial" w:eastAsia="Arial" w:hAnsi="Arial"/>
          <w:b/>
          <w:bCs/>
          <w:color w:val="1A4F8A"/>
          <w:sz w:val="26"/>
          <w:szCs w:val="26"/>
        </w:rPr>
        <w:t xml:space="preserve">Return on Investment</w:t>
      </w:r>
    </w:p>
    <w:p>
      <w:pPr>
        <w:spacing w:before="60" w:after="120"/>
        <w:jc w:val="both"/>
      </w:pPr>
      <w:r>
        <w:rPr>
          <w:rFonts w:ascii="Arial" w:cs="Arial" w:eastAsia="Arial" w:hAnsi="Arial"/>
          <w:color w:val="333333"/>
          <w:sz w:val="22"/>
          <w:szCs w:val="22"/>
        </w:rPr>
        <w:t xml:space="preserve">The People's Internet generates measurable societal returns: reduced manipulation-driven radicalization, lower mental health strain from predatory design, stronger digital literacy across the population, and enhanced civic cohesion. These returns are measurable against current and projected costs of digital harm — making this not merely a moral imperative but a sound public investment.</w:t>
      </w:r>
    </w:p>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6.  Governance Structure</w:t>
      </w:r>
    </w:p>
    <w:p>
      <w:pPr>
        <w:spacing w:before="60" w:after="120"/>
        <w:jc w:val="both"/>
      </w:pPr>
      <w:r>
        <w:rPr>
          <w:rFonts w:ascii="Arial" w:cs="Arial" w:eastAsia="Arial" w:hAnsi="Arial"/>
          <w:color w:val="333333"/>
          <w:sz w:val="22"/>
          <w:szCs w:val="22"/>
        </w:rPr>
        <w:t xml:space="preserve">Governance is designed to be procedurally rigorous, politically neutral, and publicly accountable.</w:t>
      </w:r>
    </w:p>
    <w:p>
      <w:pPr>
        <w:spacing w:before="0" w:after="80"/>
      </w:pPr>
      <w:r>
        <w:t xml:space="preserve"/>
      </w:r>
    </w:p>
    <w:p>
      <w:pPr>
        <w:pStyle w:val="Heading2"/>
        <w:spacing w:before="240" w:after="120"/>
      </w:pPr>
      <w:r>
        <w:rPr>
          <w:rFonts w:ascii="Arial" w:cs="Arial" w:eastAsia="Arial" w:hAnsi="Arial"/>
          <w:b/>
          <w:bCs/>
          <w:color w:val="1A4F8A"/>
          <w:sz w:val="26"/>
          <w:szCs w:val="26"/>
        </w:rPr>
        <w:t xml:space="preserve">Rule Enforcement</w:t>
      </w:r>
    </w:p>
    <w:p>
      <w:pPr>
        <w:spacing w:before="60" w:after="120"/>
        <w:jc w:val="both"/>
      </w:pPr>
      <w:r>
        <w:rPr>
          <w:rFonts w:ascii="Arial" w:cs="Arial" w:eastAsia="Arial" w:hAnsi="Arial"/>
          <w:color w:val="333333"/>
          <w:sz w:val="22"/>
          <w:szCs w:val="22"/>
        </w:rPr>
        <w:t xml:space="preserve">AI-assisted auditing verifies compliance with transparency and data standards continuously. Human oversight bodies handle ethical determinations and policy decisions. All audit findings and governance decisions are published and publicly accessible, ensuring democratic accountability.</w:t>
      </w:r>
    </w:p>
    <w:p>
      <w:pPr>
        <w:pStyle w:val="Heading2"/>
        <w:spacing w:before="240" w:after="120"/>
      </w:pPr>
      <w:r>
        <w:rPr>
          <w:rFonts w:ascii="Arial" w:cs="Arial" w:eastAsia="Arial" w:hAnsi="Arial"/>
          <w:b/>
          <w:bCs/>
          <w:color w:val="1A4F8A"/>
          <w:sz w:val="26"/>
          <w:szCs w:val="26"/>
        </w:rPr>
        <w:t xml:space="preserve">Political Neutrality</w:t>
      </w:r>
    </w:p>
    <w:p>
      <w:pPr>
        <w:spacing w:before="60" w:after="120"/>
        <w:jc w:val="both"/>
      </w:pPr>
      <w:r>
        <w:rPr>
          <w:rFonts w:ascii="Arial" w:cs="Arial" w:eastAsia="Arial" w:hAnsi="Arial"/>
          <w:color w:val="333333"/>
          <w:sz w:val="22"/>
          <w:szCs w:val="22"/>
        </w:rPr>
        <w:t xml:space="preserve">The People's Internet regulates process, not content. Sites must meet transparency standards regardless of their viewpoint. The infrastructure is governed by procedural rules — how information is presented — not substantive rules about what may be said. This preserves it as a genuine public square rather than a tool of ideological control.</w:t>
      </w:r>
    </w:p>
    <w:p>
      <w:pPr>
        <w:pStyle w:val="Heading2"/>
        <w:spacing w:before="240" w:after="120"/>
      </w:pPr>
      <w:r>
        <w:rPr>
          <w:rFonts w:ascii="Arial" w:cs="Arial" w:eastAsia="Arial" w:hAnsi="Arial"/>
          <w:b/>
          <w:bCs/>
          <w:color w:val="1A4F8A"/>
          <w:sz w:val="26"/>
          <w:szCs w:val="26"/>
        </w:rPr>
        <w:t xml:space="preserve">Funding Model</w:t>
      </w:r>
    </w:p>
    <w:p>
      <w:pPr>
        <w:spacing w:before="60" w:after="120"/>
        <w:jc w:val="both"/>
      </w:pPr>
      <w:r>
        <w:rPr>
          <w:rFonts w:ascii="Arial" w:cs="Arial" w:eastAsia="Arial" w:hAnsi="Arial"/>
          <w:color w:val="333333"/>
          <w:sz w:val="22"/>
          <w:szCs w:val="22"/>
        </w:rPr>
        <w:t xml:space="preserve">Basic federal funding ensures minimum viability in every state. States pool resources for shared infrastructure components. Because there is no profit motive, there is no structural pressure toward commercialization. Costs remain genuinely comparable to traditional public infrastructure at scale.</w:t>
      </w:r>
    </w:p>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7.  Phased Implementation</w:t>
      </w:r>
    </w:p>
    <w:p>
      <w:pPr>
        <w:spacing w:before="60" w:after="120"/>
        <w:jc w:val="both"/>
      </w:pPr>
      <w:r>
        <w:rPr>
          <w:rFonts w:ascii="Arial" w:cs="Arial" w:eastAsia="Arial" w:hAnsi="Arial"/>
          <w:color w:val="333333"/>
          <w:sz w:val="22"/>
          <w:szCs w:val="22"/>
        </w:rPr>
        <w:t xml:space="preserve">A three-phase rollout allows for iterative refinement, evidence gathering, and democratic accountability at each stage before further expansion.</w:t>
      </w:r>
    </w:p>
    <w:p>
      <w:pPr>
        <w:spacing w:before="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60"/>
        <w:gridCol w:w="1600"/>
        <w:gridCol w:w="5000"/>
      </w:tblGrid>
      <w:tr>
        <w:tc>
          <w:tcPr>
            <w:tcW w:type="dxa" w:w="1200"/>
            <w:tcBorders>
              <w:top w:val="single" w:color="CCCCCC" w:sz="1"/>
              <w:left w:val="single" w:color="CCCCCC" w:sz="1"/>
              <w:bottom w:val="single" w:color="CCCCCC" w:sz="1"/>
              <w:right w:val="single" w:color="CCCCCC" w:sz="1"/>
            </w:tcBorders>
            <w:shd w:fill="1A4F8A"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Phase</w:t>
            </w:r>
          </w:p>
        </w:tc>
        <w:tc>
          <w:tcPr>
            <w:tcW w:type="dxa" w:w="1560"/>
            <w:tcBorders>
              <w:top w:val="single" w:color="CCCCCC" w:sz="1"/>
              <w:left w:val="single" w:color="CCCCCC" w:sz="1"/>
              <w:bottom w:val="single" w:color="CCCCCC" w:sz="1"/>
              <w:right w:val="single" w:color="CCCCCC" w:sz="1"/>
            </w:tcBorders>
            <w:shd w:fill="1A4F8A"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Timeline</w:t>
            </w:r>
          </w:p>
        </w:tc>
        <w:tc>
          <w:tcPr>
            <w:tcW w:type="dxa" w:w="1600"/>
            <w:tcBorders>
              <w:top w:val="single" w:color="CCCCCC" w:sz="1"/>
              <w:left w:val="single" w:color="CCCCCC" w:sz="1"/>
              <w:bottom w:val="single" w:color="CCCCCC" w:sz="1"/>
              <w:right w:val="single" w:color="CCCCCC" w:sz="1"/>
            </w:tcBorders>
            <w:shd w:fill="1A4F8A"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Focus</w:t>
            </w:r>
          </w:p>
        </w:tc>
        <w:tc>
          <w:tcPr>
            <w:tcW w:type="dxa" w:w="5000"/>
            <w:tcBorders>
              <w:top w:val="single" w:color="CCCCCC" w:sz="1"/>
              <w:left w:val="single" w:color="CCCCCC" w:sz="1"/>
              <w:bottom w:val="single" w:color="CCCCCC" w:sz="1"/>
              <w:right w:val="single" w:color="CCCCCC" w:sz="1"/>
            </w:tcBorders>
            <w:shd w:fill="1A4F8A"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Key Actions</w:t>
            </w:r>
          </w:p>
        </w:tc>
      </w:tr>
      <w:tr>
        <w:tc>
          <w:tcPr>
            <w:tcW w:type="dxa" w:w="12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b/>
                <w:bCs/>
                <w:color w:val="1A4F8A"/>
                <w:sz w:val="20"/>
                <w:szCs w:val="20"/>
              </w:rPr>
              <w:t xml:space="preserve">Phase 1</w:t>
            </w:r>
          </w:p>
        </w:tc>
        <w:tc>
          <w:tcPr>
            <w:tcW w:type="dxa" w:w="156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color w:val="444444"/>
                <w:sz w:val="20"/>
                <w:szCs w:val="20"/>
              </w:rPr>
              <w:t xml:space="preserve">Months 1–6</w:t>
            </w:r>
          </w:p>
        </w:tc>
        <w:tc>
          <w:tcPr>
            <w:tcW w:type="dxa" w:w="16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Pilot</w:t>
            </w:r>
          </w:p>
        </w:tc>
        <w:tc>
          <w:tcPr>
            <w:tcW w:type="dxa" w:w="50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spacing w:before="20" w:after="20"/>
            </w:pPr>
            <w:r>
              <w:rPr>
                <w:rFonts w:ascii="Arial" w:cs="Arial" w:eastAsia="Arial" w:hAnsi="Arial"/>
                <w:color w:val="444444"/>
                <w:sz w:val="20"/>
                <w:szCs w:val="20"/>
              </w:rPr>
              <w:t xml:space="preserve">• Single state launches infrastructure</w:t>
            </w:r>
          </w:p>
          <w:p>
            <w:pPr>
              <w:spacing w:before="20" w:after="20"/>
            </w:pPr>
            <w:r>
              <w:rPr>
                <w:rFonts w:ascii="Arial" w:cs="Arial" w:eastAsia="Arial" w:hAnsi="Arial"/>
                <w:color w:val="444444"/>
                <w:sz w:val="20"/>
                <w:szCs w:val="20"/>
              </w:rPr>
              <w:t xml:space="preserve">• Recruit displaced network admins</w:t>
            </w:r>
          </w:p>
          <w:p>
            <w:pPr>
              <w:spacing w:before="20" w:after="20"/>
            </w:pPr>
            <w:r>
              <w:rPr>
                <w:rFonts w:ascii="Arial" w:cs="Arial" w:eastAsia="Arial" w:hAnsi="Arial"/>
                <w:color w:val="444444"/>
                <w:sz w:val="20"/>
                <w:szCs w:val="20"/>
              </w:rPr>
              <w:t xml:space="preserve">• Develop transparency standards</w:t>
            </w:r>
          </w:p>
          <w:p>
            <w:pPr>
              <w:spacing w:before="20" w:after="20"/>
            </w:pPr>
            <w:r>
              <w:rPr>
                <w:rFonts w:ascii="Arial" w:cs="Arial" w:eastAsia="Arial" w:hAnsi="Arial"/>
                <w:color w:val="444444"/>
                <w:sz w:val="20"/>
                <w:szCs w:val="20"/>
              </w:rPr>
              <w:t xml:space="preserve">• Curate initial public content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4F8A"/>
                <w:sz w:val="20"/>
                <w:szCs w:val="20"/>
              </w:rPr>
              <w:t xml:space="preserve">Phase 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444444"/>
                <w:sz w:val="20"/>
                <w:szCs w:val="20"/>
              </w:rPr>
              <w:t xml:space="preserve">Months 7–12</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Expansion</w:t>
            </w:r>
          </w:p>
        </w:tc>
        <w:tc>
          <w:tcPr>
            <w:tcW w:type="dxa" w:w="5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20" w:after="20"/>
            </w:pPr>
            <w:r>
              <w:rPr>
                <w:rFonts w:ascii="Arial" w:cs="Arial" w:eastAsia="Arial" w:hAnsi="Arial"/>
                <w:color w:val="444444"/>
                <w:sz w:val="20"/>
                <w:szCs w:val="20"/>
              </w:rPr>
              <w:t xml:space="preserve">• Additional states join consortium</w:t>
            </w:r>
          </w:p>
          <w:p>
            <w:pPr>
              <w:spacing w:before="20" w:after="20"/>
            </w:pPr>
            <w:r>
              <w:rPr>
                <w:rFonts w:ascii="Arial" w:cs="Arial" w:eastAsia="Arial" w:hAnsi="Arial"/>
                <w:color w:val="444444"/>
                <w:sz w:val="20"/>
                <w:szCs w:val="20"/>
              </w:rPr>
              <w:t xml:space="preserve">• Share governance learnings</w:t>
            </w:r>
          </w:p>
          <w:p>
            <w:pPr>
              <w:spacing w:before="20" w:after="20"/>
            </w:pPr>
            <w:r>
              <w:rPr>
                <w:rFonts w:ascii="Arial" w:cs="Arial" w:eastAsia="Arial" w:hAnsi="Arial"/>
                <w:color w:val="444444"/>
                <w:sz w:val="20"/>
                <w:szCs w:val="20"/>
              </w:rPr>
              <w:t xml:space="preserve">• Launch middle school curriculum</w:t>
            </w:r>
          </w:p>
          <w:p>
            <w:pPr>
              <w:spacing w:before="20" w:after="20"/>
            </w:pPr>
            <w:r>
              <w:rPr>
                <w:rFonts w:ascii="Arial" w:cs="Arial" w:eastAsia="Arial" w:hAnsi="Arial"/>
                <w:color w:val="444444"/>
                <w:sz w:val="20"/>
                <w:szCs w:val="20"/>
              </w:rPr>
              <w:t xml:space="preserve">• Iterate based on user feedback</w:t>
            </w:r>
          </w:p>
        </w:tc>
      </w:tr>
      <w:tr>
        <w:tc>
          <w:tcPr>
            <w:tcW w:type="dxa" w:w="12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b/>
                <w:bCs/>
                <w:color w:val="1A4F8A"/>
                <w:sz w:val="20"/>
                <w:szCs w:val="20"/>
              </w:rPr>
              <w:t xml:space="preserve">Phase 3</w:t>
            </w:r>
          </w:p>
        </w:tc>
        <w:tc>
          <w:tcPr>
            <w:tcW w:type="dxa" w:w="156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color w:val="444444"/>
                <w:sz w:val="20"/>
                <w:szCs w:val="20"/>
              </w:rPr>
              <w:t xml:space="preserve">Months 13–18</w:t>
            </w:r>
          </w:p>
        </w:tc>
        <w:tc>
          <w:tcPr>
            <w:tcW w:type="dxa" w:w="16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jc w:val="center"/>
            </w:pPr>
            <w:r>
              <w:rPr>
                <w:rFonts w:ascii="Arial" w:cs="Arial" w:eastAsia="Arial" w:hAnsi="Arial"/>
                <w:b/>
                <w:bCs/>
                <w:color w:val="333333"/>
                <w:sz w:val="20"/>
                <w:szCs w:val="20"/>
              </w:rPr>
              <w:t xml:space="preserve">Maturity</w:t>
            </w:r>
          </w:p>
        </w:tc>
        <w:tc>
          <w:tcPr>
            <w:tcW w:type="dxa" w:w="5000"/>
            <w:tcBorders>
              <w:top w:val="single" w:color="CCCCCC" w:sz="1"/>
              <w:left w:val="single" w:color="CCCCCC" w:sz="1"/>
              <w:bottom w:val="single" w:color="CCCCCC" w:sz="1"/>
              <w:right w:val="single" w:color="CCCCCC" w:sz="1"/>
            </w:tcBorders>
            <w:shd w:fill="D6E4F7" w:val="clear"/>
            <w:tcMar>
              <w:top w:type="dxa" w:w="80"/>
              <w:left w:type="dxa" w:w="120"/>
              <w:bottom w:type="dxa" w:w="80"/>
              <w:right w:type="dxa" w:w="120"/>
            </w:tcMar>
          </w:tcPr>
          <w:p>
            <w:pPr>
              <w:spacing w:before="20" w:after="20"/>
            </w:pPr>
            <w:r>
              <w:rPr>
                <w:rFonts w:ascii="Arial" w:cs="Arial" w:eastAsia="Arial" w:hAnsi="Arial"/>
                <w:color w:val="444444"/>
                <w:sz w:val="20"/>
                <w:szCs w:val="20"/>
              </w:rPr>
              <w:t xml:space="preserve">• Interstate resource pooling</w:t>
            </w:r>
          </w:p>
          <w:p>
            <w:pPr>
              <w:spacing w:before="20" w:after="20"/>
            </w:pPr>
            <w:r>
              <w:rPr>
                <w:rFonts w:ascii="Arial" w:cs="Arial" w:eastAsia="Arial" w:hAnsi="Arial"/>
                <w:color w:val="444444"/>
                <w:sz w:val="20"/>
                <w:szCs w:val="20"/>
              </w:rPr>
              <w:t xml:space="preserve">• Federal funding established</w:t>
            </w:r>
          </w:p>
          <w:p>
            <w:pPr>
              <w:spacing w:before="20" w:after="20"/>
            </w:pPr>
            <w:r>
              <w:rPr>
                <w:rFonts w:ascii="Arial" w:cs="Arial" w:eastAsia="Arial" w:hAnsi="Arial"/>
                <w:color w:val="444444"/>
                <w:sz w:val="20"/>
                <w:szCs w:val="20"/>
              </w:rPr>
              <w:t xml:space="preserve">• Outcomes measured and published</w:t>
            </w:r>
          </w:p>
          <w:p>
            <w:pPr>
              <w:spacing w:before="20" w:after="20"/>
            </w:pPr>
            <w:r>
              <w:rPr>
                <w:rFonts w:ascii="Arial" w:cs="Arial" w:eastAsia="Arial" w:hAnsi="Arial"/>
                <w:color w:val="444444"/>
                <w:sz w:val="20"/>
                <w:szCs w:val="20"/>
              </w:rPr>
              <w:t xml:space="preserve">• Model available nationwide</w:t>
            </w:r>
          </w:p>
        </w:tc>
      </w:tr>
    </w:tbl>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8.  Educational Integration</w:t>
      </w:r>
    </w:p>
    <w:p>
      <w:pPr>
        <w:spacing w:before="60" w:after="120"/>
        <w:jc w:val="both"/>
      </w:pPr>
      <w:r>
        <w:rPr>
          <w:rFonts w:ascii="Arial" w:cs="Arial" w:eastAsia="Arial" w:hAnsi="Arial"/>
          <w:color w:val="333333"/>
          <w:sz w:val="22"/>
          <w:szCs w:val="22"/>
        </w:rPr>
        <w:t xml:space="preserve">Civic literacy in the 21st century requires understanding the digital spaces citizens inhabit. A middle school curriculum integrated with the People's Internet teaches the logic of transparent systems, the ethics of data and consent, and the mechanics of digital civic participation.</w:t>
      </w:r>
    </w:p>
    <w:p>
      <w:pPr>
        <w:spacing w:before="0" w:after="80"/>
      </w:pPr>
      <w:r>
        <w:t xml:space="preserve"/>
      </w:r>
    </w:p>
    <w:p>
      <w:pPr>
        <w:spacing w:before="60" w:after="120"/>
        <w:jc w:val="both"/>
      </w:pPr>
      <w:r>
        <w:rPr>
          <w:rFonts w:ascii="Arial" w:cs="Arial" w:eastAsia="Arial" w:hAnsi="Arial"/>
          <w:color w:val="333333"/>
          <w:sz w:val="22"/>
          <w:szCs w:val="22"/>
        </w:rPr>
        <w:t xml:space="preserve">Graduates emerge able to navigate and critically evaluate digital spaces — distinguishing manipulation from information, understanding what data is collected and why, and exercising informed choice between internet zones. This is not a technology curriculum. It is a civics curriculum for the digital age.</w:t>
      </w:r>
    </w:p>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9.  Obstacles and Responses</w:t>
      </w:r>
    </w:p>
    <w:p>
      <w:pPr>
        <w:pStyle w:val="Heading2"/>
        <w:spacing w:before="240" w:after="120"/>
      </w:pPr>
      <w:r>
        <w:rPr>
          <w:rFonts w:ascii="Arial" w:cs="Arial" w:eastAsia="Arial" w:hAnsi="Arial"/>
          <w:b/>
          <w:bCs/>
          <w:color w:val="1A4F8A"/>
          <w:sz w:val="26"/>
          <w:szCs w:val="26"/>
        </w:rPr>
        <w:t xml:space="preserve">Coordination Challenge</w:t>
      </w:r>
    </w:p>
    <w:p>
      <w:pPr>
        <w:spacing w:before="60" w:after="120"/>
        <w:jc w:val="both"/>
      </w:pPr>
      <w:r>
        <w:rPr>
          <w:rFonts w:ascii="Arial" w:cs="Arial" w:eastAsia="Arial" w:hAnsi="Arial"/>
          <w:color w:val="333333"/>
          <w:sz w:val="22"/>
          <w:szCs w:val="22"/>
        </w:rPr>
        <w:t xml:space="preserve">Begin with willing states and build a consortium model. Interstate agreements enable resource sharing. Federal funding provides the incentive structure for participation without mandates.</w:t>
      </w:r>
    </w:p>
    <w:p>
      <w:pPr>
        <w:pStyle w:val="Heading2"/>
        <w:spacing w:before="240" w:after="120"/>
      </w:pPr>
      <w:r>
        <w:rPr>
          <w:rFonts w:ascii="Arial" w:cs="Arial" w:eastAsia="Arial" w:hAnsi="Arial"/>
          <w:b/>
          <w:bCs/>
          <w:color w:val="1A4F8A"/>
          <w:sz w:val="26"/>
          <w:szCs w:val="26"/>
        </w:rPr>
        <w:t xml:space="preserve">Defining Standards</w:t>
      </w:r>
    </w:p>
    <w:p>
      <w:pPr>
        <w:spacing w:before="60" w:after="120"/>
        <w:jc w:val="both"/>
      </w:pPr>
      <w:r>
        <w:rPr>
          <w:rFonts w:ascii="Arial" w:cs="Arial" w:eastAsia="Arial" w:hAnsi="Arial"/>
          <w:color w:val="333333"/>
          <w:sz w:val="22"/>
          <w:szCs w:val="22"/>
        </w:rPr>
        <w:t xml:space="preserve">Technical working groups composed of administrators and ethicists develop open-source standards through public deliberation. Standards are iteratively refined based on real-world implementation experience.</w:t>
      </w:r>
    </w:p>
    <w:p>
      <w:pPr>
        <w:pStyle w:val="Heading2"/>
        <w:spacing w:before="240" w:after="120"/>
      </w:pPr>
      <w:r>
        <w:rPr>
          <w:rFonts w:ascii="Arial" w:cs="Arial" w:eastAsia="Arial" w:hAnsi="Arial"/>
          <w:b/>
          <w:bCs/>
          <w:color w:val="1A4F8A"/>
          <w:sz w:val="26"/>
          <w:szCs w:val="26"/>
        </w:rPr>
        <w:t xml:space="preserve">User Adoption</w:t>
      </w:r>
    </w:p>
    <w:p>
      <w:pPr>
        <w:spacing w:before="60" w:after="120"/>
        <w:jc w:val="both"/>
      </w:pPr>
      <w:r>
        <w:rPr>
          <w:rFonts w:ascii="Arial" w:cs="Arial" w:eastAsia="Arial" w:hAnsi="Arial"/>
          <w:color w:val="333333"/>
          <w:sz w:val="22"/>
          <w:szCs w:val="22"/>
        </w:rPr>
        <w:t xml:space="preserve">Make the People's Internet the default digital environment in public institutions — schools, libraries, government services. Market on demonstrable safety and comprehensibility advantages. Superior user experience drives organic adoption.</w:t>
      </w:r>
    </w:p>
    <w:p>
      <w:pPr>
        <w:pStyle w:val="Heading2"/>
        <w:spacing w:before="240" w:after="120"/>
      </w:pPr>
      <w:r>
        <w:rPr>
          <w:rFonts w:ascii="Arial" w:cs="Arial" w:eastAsia="Arial" w:hAnsi="Arial"/>
          <w:b/>
          <w:bCs/>
          <w:color w:val="1A4F8A"/>
          <w:sz w:val="26"/>
          <w:szCs w:val="26"/>
        </w:rPr>
        <w:t xml:space="preserve">Maintaining Neutrality</w:t>
      </w:r>
    </w:p>
    <w:p>
      <w:pPr>
        <w:spacing w:before="60" w:after="120"/>
        <w:jc w:val="both"/>
      </w:pPr>
      <w:r>
        <w:rPr>
          <w:rFonts w:ascii="Arial" w:cs="Arial" w:eastAsia="Arial" w:hAnsi="Arial"/>
          <w:color w:val="333333"/>
          <w:sz w:val="22"/>
          <w:szCs w:val="22"/>
        </w:rPr>
        <w:t xml:space="preserve">Procedural rules govern transparency requirements; no content rules govern viewpoint. Public oversight bodies, open decision-making, and regular independent audits provide accountability mechanisms against capture or ideological drift.</w:t>
      </w:r>
    </w:p>
    <w:p>
      <w:pPr>
        <w:spacing w:before="0" w:after="20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10.  Conclusion</w:t>
      </w:r>
    </w:p>
    <w:p>
      <w:pPr>
        <w:spacing w:before="60" w:after="120"/>
        <w:jc w:val="both"/>
      </w:pPr>
      <w:r>
        <w:rPr>
          <w:rFonts w:ascii="Arial" w:cs="Arial" w:eastAsia="Arial" w:hAnsi="Arial"/>
          <w:color w:val="333333"/>
          <w:sz w:val="22"/>
          <w:szCs w:val="22"/>
        </w:rPr>
        <w:t xml:space="preserve">The People's Internet is both technically feasible and socially necessary. It requires no technological breakthrough — only political will and organizational capacity. By treating digital infrastructure as public infrastructure, excluding corporate interests structurally rather than through regulation, and employing displaced workers as civil servants, this proposal addresses multiple intersecting crises simultaneously.</w:t>
      </w:r>
    </w:p>
    <w:p>
      <w:pPr>
        <w:spacing w:before="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360"/>
      </w:tblGrid>
      <w:tr>
        <w:tc>
          <w:tcPr>
            <w:tcW w:type="dxa" w:w="9360"/>
            <w:tcBorders>
              <w:top w:val="none" w:color="FFFFFF" w:sz="0"/>
              <w:left w:val="single" w:color="1A4F8A" w:sz="24"/>
              <w:bottom w:val="none" w:color="FFFFFF" w:sz="0"/>
              <w:right w:val="none" w:color="FFFFFF" w:sz="0"/>
            </w:tcBorders>
            <w:shd w:fill="D6E4F7" w:val="clear"/>
            <w:tcMar>
              <w:top w:type="dxa" w:w="120"/>
              <w:left w:type="dxa" w:w="240"/>
              <w:bottom w:type="dxa" w:w="120"/>
              <w:right w:type="dxa" w:w="240"/>
            </w:tcMar>
          </w:tcPr>
          <w:p>
            <w:pPr>
              <w:spacing w:before="0" w:after="80"/>
            </w:pPr>
            <w:r>
              <w:rPr>
                <w:rFonts w:ascii="Arial" w:cs="Arial" w:eastAsia="Arial" w:hAnsi="Arial"/>
                <w:b/>
                <w:bCs/>
                <w:color w:val="1A4F8A"/>
                <w:sz w:val="22"/>
                <w:szCs w:val="22"/>
              </w:rPr>
              <w:t xml:space="preserve">The Central Question</w:t>
            </w:r>
          </w:p>
          <w:p>
            <w:pPr>
              <w:spacing w:before="0" w:after="0"/>
            </w:pPr>
            <w:r>
              <w:rPr>
                <w:rFonts w:ascii="Arial" w:cs="Arial" w:eastAsia="Arial" w:hAnsi="Arial"/>
                <w:i/>
                <w:iCs/>
                <w:color w:val="444444"/>
                <w:sz w:val="20"/>
                <w:szCs w:val="20"/>
              </w:rPr>
              <w:t xml:space="preserve">The question is not whether this can be built. The question is whether we recognize that in 2026, a comprehensible, non-predatory internet is as fundamental a public good as roads, schools, and clean water. The infrastructure exists. The workforce exists. The social necessity is documented. What remains is the political decision to act.</w:t>
            </w:r>
          </w:p>
        </w:tc>
      </w:tr>
    </w:tbl>
    <w:p>
      <w:pPr>
        <w:spacing w:before="0" w:after="240"/>
      </w:pPr>
      <w:r>
        <w:t xml:space="preserve"/>
      </w:r>
    </w:p>
    <w:p>
      <w:pPr>
        <w:pStyle w:val="Heading1"/>
        <w:pBdr>
          <w:bottom w:val="single" w:color="1A4F8A" w:sz="8" w:space="4"/>
        </w:pBdr>
        <w:spacing w:before="320" w:after="160"/>
      </w:pPr>
      <w:r>
        <w:rPr>
          <w:rFonts w:ascii="Arial" w:cs="Arial" w:eastAsia="Arial" w:hAnsi="Arial"/>
          <w:b/>
          <w:bCs/>
          <w:color w:val="1A4F8A"/>
          <w:sz w:val="32"/>
          <w:szCs w:val="32"/>
        </w:rPr>
        <w:t xml:space="preserve">Next Steps for Advocacy</w:t>
      </w:r>
    </w:p>
    <w:p>
      <w:pPr>
        <w:spacing w:before="60" w:after="120"/>
        <w:jc w:val="both"/>
      </w:pPr>
      <w:r>
        <w:rPr>
          <w:rFonts w:ascii="Arial" w:cs="Arial" w:eastAsia="Arial" w:hAnsi="Arial"/>
          <w:color w:val="333333"/>
          <w:sz w:val="22"/>
          <w:szCs w:val="22"/>
        </w:rPr>
        <w:t xml:space="preserve">This document is designed as a foundation. Recommended next steps for advancing this proposal:</w:t>
      </w:r>
    </w:p>
    <w:p>
      <w:pPr>
        <w:spacing w:before="0" w:after="80"/>
      </w:pPr>
      <w:r>
        <w:t xml:space="preserve"/>
      </w:r>
    </w:p>
    <w:p>
      <w:pPr>
        <w:pStyle w:val="ListParagraph"/>
        <w:numPr>
          <w:ilvl w:val="0"/>
          <w:numId w:val="2"/>
        </w:numPr>
        <w:spacing w:before="40" w:after="80"/>
      </w:pPr>
      <w:r>
        <w:rPr>
          <w:rFonts w:ascii="Arial" w:cs="Arial" w:eastAsia="Arial" w:hAnsi="Arial"/>
          <w:color w:val="333333"/>
          <w:sz w:val="22"/>
          <w:szCs w:val="22"/>
        </w:rPr>
        <w:t xml:space="preserve">Condense this brief into a single-page visual summary for rapid distribution to policymakers</w:t>
      </w:r>
    </w:p>
    <w:p>
      <w:pPr>
        <w:pStyle w:val="ListParagraph"/>
        <w:numPr>
          <w:ilvl w:val="0"/>
          <w:numId w:val="2"/>
        </w:numPr>
        <w:spacing w:before="40" w:after="80"/>
      </w:pPr>
      <w:r>
        <w:rPr>
          <w:rFonts w:ascii="Arial" w:cs="Arial" w:eastAsia="Arial" w:hAnsi="Arial"/>
          <w:color w:val="333333"/>
          <w:sz w:val="22"/>
          <w:szCs w:val="22"/>
        </w:rPr>
        <w:t xml:space="preserve">Develop infographics: the commercial vs. People's Internet comparison; the transparency cycle; the phased rollout map; and cost comparisons to other public works</w:t>
      </w:r>
    </w:p>
    <w:p>
      <w:pPr>
        <w:pStyle w:val="ListParagraph"/>
        <w:numPr>
          <w:ilvl w:val="0"/>
          <w:numId w:val="2"/>
        </w:numPr>
        <w:spacing w:before="40" w:after="80"/>
      </w:pPr>
      <w:r>
        <w:rPr>
          <w:rFonts w:ascii="Arial" w:cs="Arial" w:eastAsia="Arial" w:hAnsi="Arial"/>
          <w:color w:val="333333"/>
          <w:sz w:val="22"/>
          <w:szCs w:val="22"/>
        </w:rPr>
        <w:t xml:space="preserve">Identify and tailor messaging by audience: jobs and public safety for legislators, child protection for parents, open-source ethics for technology workers</w:t>
      </w:r>
    </w:p>
    <w:p>
      <w:pPr>
        <w:pStyle w:val="ListParagraph"/>
        <w:numPr>
          <w:ilvl w:val="0"/>
          <w:numId w:val="2"/>
        </w:numPr>
        <w:spacing w:before="40" w:after="80"/>
      </w:pPr>
      <w:r>
        <w:rPr>
          <w:rFonts w:ascii="Arial" w:cs="Arial" w:eastAsia="Arial" w:hAnsi="Arial"/>
          <w:color w:val="333333"/>
          <w:sz w:val="22"/>
          <w:szCs w:val="22"/>
        </w:rPr>
        <w:t xml:space="preserve">Build a coalition: digital rights organizations, public library associations, teacher unions, and civic advocacy groups are natural allies</w:t>
      </w:r>
    </w:p>
    <w:p>
      <w:pPr>
        <w:pStyle w:val="ListParagraph"/>
        <w:numPr>
          <w:ilvl w:val="0"/>
          <w:numId w:val="2"/>
        </w:numPr>
        <w:spacing w:before="40" w:after="80"/>
      </w:pPr>
      <w:r>
        <w:rPr>
          <w:rFonts w:ascii="Arial" w:cs="Arial" w:eastAsia="Arial" w:hAnsi="Arial"/>
          <w:color w:val="333333"/>
          <w:sz w:val="22"/>
          <w:szCs w:val="22"/>
        </w:rPr>
        <w:t xml:space="preserve">Identify a willing state government partner to develop the Phase 1 pilot proposal and funding request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6"/>
      </w:pBdr>
      <w:spacing w:before="0"/>
    </w:pPr>
    <w:r>
      <w:rPr>
        <w:rFonts w:ascii="Arial" w:cs="Arial" w:eastAsia="Arial" w:hAnsi="Arial"/>
        <w:color w:val="666666"/>
        <w:sz w:val="18"/>
        <w:szCs w:val="18"/>
      </w:rPr>
      <w:t xml:space="preserve">Digital Public Infrastructure Initiative  |  February 2026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6"/>
      </w:pBdr>
      <w:spacing w:after="0"/>
    </w:pPr>
    <w:r>
      <w:rPr>
        <w:rFonts w:ascii="Arial" w:cs="Arial" w:eastAsia="Arial" w:hAnsi="Arial"/>
        <w:b/>
        <w:bCs/>
        <w:color w:val="666666"/>
        <w:sz w:val="18"/>
        <w:szCs w:val="18"/>
      </w:rPr>
      <w:t xml:space="preserve">POLICY BRIEF  |  THE PEOPLE'S INTERNET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A4F8A"/>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A4F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2026-02-27T04:09:19.009Z</dcterms:created>
  <dcterms:modified xsi:type="dcterms:W3CDTF">2026-02-27T04:09:19.010Z</dcterms:modified>
</cp:coreProperties>
</file>

<file path=docProps/custom.xml><?xml version="1.0" encoding="utf-8"?>
<Properties xmlns="http://schemas.openxmlformats.org/officeDocument/2006/custom-properties" xmlns:vt="http://schemas.openxmlformats.org/officeDocument/2006/docPropsVTypes"/>
</file>